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AB" w:rsidRDefault="00D531AB" w:rsidP="00D531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531A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</w:p>
    <w:p w:rsidR="00D531AB" w:rsidRDefault="00D531AB" w:rsidP="00D531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AB">
        <w:rPr>
          <w:rFonts w:ascii="Times New Roman" w:hAnsi="Times New Roman" w:cs="Times New Roman"/>
          <w:b/>
          <w:sz w:val="24"/>
          <w:szCs w:val="24"/>
        </w:rPr>
        <w:t>«</w:t>
      </w:r>
      <w:r w:rsidR="00BA6573">
        <w:rPr>
          <w:rFonts w:ascii="Times New Roman" w:hAnsi="Times New Roman" w:cs="Times New Roman"/>
          <w:b/>
          <w:sz w:val="24"/>
          <w:szCs w:val="24"/>
        </w:rPr>
        <w:t>Оригинальная музыка для балалайки</w:t>
      </w:r>
      <w:bookmarkEnd w:id="0"/>
      <w:r w:rsidRPr="00D531AB">
        <w:rPr>
          <w:rFonts w:ascii="Times New Roman" w:hAnsi="Times New Roman" w:cs="Times New Roman"/>
          <w:b/>
          <w:sz w:val="24"/>
          <w:szCs w:val="24"/>
        </w:rPr>
        <w:t>»</w:t>
      </w:r>
    </w:p>
    <w:p w:rsidR="00C74090" w:rsidRDefault="00C74090" w:rsidP="00D531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090" w:rsidRPr="00C74090" w:rsidRDefault="00C74090" w:rsidP="00C740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74090">
        <w:rPr>
          <w:rFonts w:ascii="Times New Roman" w:hAnsi="Times New Roman" w:cs="Times New Roman"/>
          <w:sz w:val="24"/>
          <w:szCs w:val="24"/>
        </w:rPr>
        <w:t xml:space="preserve">Автор – педагог дополнительного образования – </w:t>
      </w:r>
      <w:proofErr w:type="spellStart"/>
      <w:r w:rsidRPr="00C74090">
        <w:rPr>
          <w:rFonts w:ascii="Times New Roman" w:hAnsi="Times New Roman" w:cs="Times New Roman"/>
          <w:sz w:val="24"/>
          <w:szCs w:val="24"/>
        </w:rPr>
        <w:t>Тугарев</w:t>
      </w:r>
      <w:proofErr w:type="spellEnd"/>
      <w:r w:rsidRPr="00C74090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За последние годы репертуар балалаечника значительно обогатился. Связано это не только с появлением разнообразных переложений, но и, что весьма значимо, с возникновением оригинальных сочинений. Все больше современных композиторов заинтересовывают новые возможности звукопередачи, многообразие колористических оттенков и широта исполнительских приемов. Среди них мастера, как признанные балалаечным сообществом, так и те, кто только пришел на поприще народной музыки. Подобному всплеску интересов, прежде всего, способствует качественно новый исполнительский уровень. Поначалу большинство оригинальных </w:t>
      </w:r>
      <w:proofErr w:type="gramStart"/>
      <w:r w:rsidRPr="002309BE">
        <w:rPr>
          <w:rFonts w:ascii="Times New Roman" w:hAnsi="Times New Roman" w:cs="Times New Roman"/>
          <w:sz w:val="24"/>
          <w:szCs w:val="24"/>
        </w:rPr>
        <w:t>композиций  основывалось</w:t>
      </w:r>
      <w:proofErr w:type="gramEnd"/>
      <w:r w:rsidRPr="002309BE">
        <w:rPr>
          <w:rFonts w:ascii="Times New Roman" w:hAnsi="Times New Roman" w:cs="Times New Roman"/>
          <w:sz w:val="24"/>
          <w:szCs w:val="24"/>
        </w:rPr>
        <w:t xml:space="preserve"> на материале народных мелодий. Таковы, например, концерты для балалайки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С.Василенко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(1931),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Ю.Шишакова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(1953) и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Н.Прошко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(1972). Со временем композиторы стали воспринимать в этом инструменте не только национальный колорит, но и начали широко использовать как современный музыкальный язык, так и богатую образную палитру, что в итоге позволяет оценивать последнее десятилетие исполнительской и композиторской практики, как начало нового этапа в развитии балалаечного искусства.</w:t>
      </w:r>
      <w:r w:rsidRPr="002309BE">
        <w:rPr>
          <w:sz w:val="24"/>
          <w:szCs w:val="24"/>
        </w:rPr>
        <w:t xml:space="preserve"> </w:t>
      </w:r>
      <w:r w:rsidRPr="002309BE">
        <w:rPr>
          <w:rFonts w:ascii="Times New Roman" w:hAnsi="Times New Roman" w:cs="Times New Roman"/>
          <w:sz w:val="24"/>
          <w:szCs w:val="24"/>
        </w:rPr>
        <w:t xml:space="preserve">Во второй половине XX века многие композиторы начинают обращаться к новым тембрам, новым возможностям звучания. Появляются произведения композиторов–исполнителей, чья музыка органично выражает природу инструмента, а также сочинения, смысловой и содержательный аспект которых расширяется. Появляются произведения композиторов–современников. И тогда инструмент становится выразителем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общемузыкальных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ценностей и общечеловеческих смыслов, всей той сложности мира, какой она кажется человеку на рубеже тысячелетий. Представления о природе инструмента, о его технических возможностях, особенностях звучания расширяются, что требует высокого мастерства исполнителя.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Изучение самобытных форм русского музыкального искусства является важнейшей задачей отечественного музыкознания. Эта малоизученная до настоящего времени область музыкального искусства привлекает яркими образцами самых разных жанров, в которых оригинально взаимодействуют традиции и современность.</w:t>
      </w:r>
    </w:p>
    <w:p w:rsidR="000F4968" w:rsidRPr="002309BE" w:rsidRDefault="000F4968" w:rsidP="000F4968">
      <w:pPr>
        <w:spacing w:after="0"/>
        <w:ind w:firstLine="708"/>
        <w:jc w:val="both"/>
        <w:rPr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Не менее важным фактором для активного изучения этой области является общая тенденция повышения интереса композиторов к музыке для народных инструментов, постоянное обновление новыми опусами концертного репертуара для всех народных инструментов. Если академические европейские инструменты путь творческого поиска во многом прошли, освоив произведения в различных композиторских техниках и стилях, то для народных инструментов многие пути развития музыкальных стилей XX века еще только открываются. При этом происходит активное развитие жанров академической музыки, которые ранее </w:t>
      </w:r>
      <w:r w:rsidR="00AB2B61">
        <w:rPr>
          <w:rFonts w:ascii="Times New Roman" w:hAnsi="Times New Roman" w:cs="Times New Roman"/>
          <w:sz w:val="24"/>
          <w:szCs w:val="24"/>
        </w:rPr>
        <w:t>считались не</w:t>
      </w:r>
      <w:r w:rsidRPr="002309BE">
        <w:rPr>
          <w:rFonts w:ascii="Times New Roman" w:hAnsi="Times New Roman" w:cs="Times New Roman"/>
          <w:sz w:val="24"/>
          <w:szCs w:val="24"/>
        </w:rPr>
        <w:t>достаточно характерными для народных инструментов. Среди них, прежде всего, жанры сонатно-симфонического цикла, такие как симфония, концерт, соната.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Одним из последних специальных искусствоведческих исследований, посвященных репертуару для балалайки, является диссертация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С.И.Кулибабы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«Основные тенденции становления музыки письменной традиции для балалайки» (1999). В работе рассмотрены сочинения для балалайки, начиная от первых образцов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В.Андреева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Б.Трояновского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и заканчивая музыкой конца 1980-х годов.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произведения репертуара рассматриваются в ряде учебников и учебных пособий по истории исполнительства на народных инструментах, а также в справочниках и просветительской литературе. Среди них выделяется труд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М.Имханицкого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«История исполнительства на русских народных инструментах», отличающийся энциклопедическим охватом материала, рассматриваемого в широком культурном контексте. Кроме того, значительный вклад в пропаганду балалайки и музыки для нее вносят работы А. 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Пересады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>, в которых сделан исторический обзор функционирования инструмента и начата систематизация произведений балалаечного репертуара.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Однако, эти работы не затрагивают практически все новейшие произведения для балалайки, написанные на рубеже ХХ-ХХ</w:t>
      </w:r>
      <w:r w:rsidRPr="002309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09BE">
        <w:rPr>
          <w:rFonts w:ascii="Times New Roman" w:hAnsi="Times New Roman" w:cs="Times New Roman"/>
          <w:sz w:val="24"/>
          <w:szCs w:val="24"/>
        </w:rPr>
        <w:t xml:space="preserve"> веков. Таким образом, актуальность темы обусловлена тем, что предметом ее рассмотрения является оригинальный репертуар для народных инструментов. 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Материалом послужили оригинальные концерты </w:t>
      </w:r>
      <w:r w:rsidRPr="002309B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309BE">
        <w:rPr>
          <w:rFonts w:ascii="Times New Roman" w:hAnsi="Times New Roman" w:cs="Times New Roman"/>
          <w:sz w:val="24"/>
          <w:szCs w:val="24"/>
        </w:rPr>
        <w:t>-ХХ</w:t>
      </w:r>
      <w:r w:rsidRPr="002309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09BE">
        <w:rPr>
          <w:rFonts w:ascii="Times New Roman" w:hAnsi="Times New Roman" w:cs="Times New Roman"/>
          <w:sz w:val="24"/>
          <w:szCs w:val="24"/>
        </w:rPr>
        <w:t xml:space="preserve"> века. То есть в исследовании предполагается анализ новейших сочинений для русских народных инструментов – современные оригинальные концерты для балалайки с оркестром. Автором проанализирован целый ряд оригинальных концертов для балалайки. Но не все произведения стали объектом исследования в силу их малой доступности для изучающих. Среди же изданных сочинений отбирались лишь те, которые, с одной стороны, являются, по мнению автора данной работы, наиболее ценными и интересными в художественном отношении, а с другой – представляют наиболее характерные примеры того или иного направления в развитии крупной формы для балалайки. Основной акцент в аналитическом материале делается на сочинениях XXI столетия.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С одной стороны, работа может стать в ряд подобных ей исследований, с другой, суммировать уже существующие изыскания в этой области и существенно их дополнить.</w:t>
      </w:r>
    </w:p>
    <w:p w:rsidR="000F4968" w:rsidRPr="002309BE" w:rsidRDefault="000F4968" w:rsidP="000F4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Предпринимаемый в исследовании анализ концертов для балалайки ставит своей целью показать значение и ценность этих сочинений, раскрыть их основные стилевые особенности и обусловленные этими особенностями проблемы исполнительства. В этой связи в работе решаются следующие задачи:</w:t>
      </w:r>
    </w:p>
    <w:p w:rsidR="000F4968" w:rsidRPr="002309BE" w:rsidRDefault="000F4968" w:rsidP="000F4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Собрать и систематизировать материал, затрагивающий вопросы репертуара для балалайки на современном этапе;</w:t>
      </w:r>
    </w:p>
    <w:p w:rsidR="000F4968" w:rsidRPr="002309BE" w:rsidRDefault="000F4968" w:rsidP="000F4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Проанализировать концерты в аспекте особенностей их стиля и формы, определить их художественное своеобразие с учетом интересов концертного и педагогического репертуара;</w:t>
      </w:r>
    </w:p>
    <w:p w:rsidR="000F4968" w:rsidRPr="002309BE" w:rsidRDefault="000F4968" w:rsidP="000F4968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Выявить основные тенденции развития жанра концерт для балалайки в отечественной музыке</w:t>
      </w:r>
    </w:p>
    <w:p w:rsidR="000F4968" w:rsidRPr="007964F1" w:rsidRDefault="000F4968" w:rsidP="000F4968">
      <w:pPr>
        <w:spacing w:after="0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2309BE">
        <w:rPr>
          <w:rFonts w:ascii="Times New Roman" w:hAnsi="Times New Roman"/>
          <w:bCs/>
          <w:sz w:val="24"/>
          <w:szCs w:val="24"/>
        </w:rPr>
        <w:t>Структура работы отражает основные задачи исследования и включает Введение, три Главы, Заключение, Список литературы.</w:t>
      </w:r>
    </w:p>
    <w:p w:rsidR="000F4968" w:rsidRPr="002309BE" w:rsidRDefault="000F4968" w:rsidP="000F4968">
      <w:pPr>
        <w:spacing w:after="0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2309B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ервая глава делится на четыре</w:t>
      </w:r>
      <w:r w:rsidRPr="002309BE">
        <w:rPr>
          <w:rFonts w:ascii="Times New Roman" w:hAnsi="Times New Roman"/>
          <w:bCs/>
          <w:sz w:val="24"/>
          <w:szCs w:val="24"/>
        </w:rPr>
        <w:t xml:space="preserve"> раздела. В первом речь идет становлении концертного исполнительства на балалайке от самых первых упоминаниях до наших дней. Второй раздел посвящен краткому обзору становления жанра инструментальный концерт. В третьем идет хронологическое перечисление всех концертов написанных в ХХ веке, с поверхностным разбором некоторых наиболее значимых произведений. Четвертый раздел полностью посвящен разбору Концерта для балалайки, струнных и ударных А. </w:t>
      </w:r>
      <w:proofErr w:type="spellStart"/>
      <w:r w:rsidRPr="002309BE">
        <w:rPr>
          <w:rFonts w:ascii="Times New Roman" w:hAnsi="Times New Roman"/>
          <w:bCs/>
          <w:sz w:val="24"/>
          <w:szCs w:val="24"/>
        </w:rPr>
        <w:t>Кусякова</w:t>
      </w:r>
      <w:proofErr w:type="spellEnd"/>
      <w:r w:rsidRPr="002309BE">
        <w:rPr>
          <w:rFonts w:ascii="Times New Roman" w:hAnsi="Times New Roman"/>
          <w:bCs/>
          <w:sz w:val="24"/>
          <w:szCs w:val="24"/>
        </w:rPr>
        <w:t>.</w:t>
      </w:r>
    </w:p>
    <w:p w:rsidR="000F4968" w:rsidRPr="002309BE" w:rsidRDefault="000F4968" w:rsidP="000F4968">
      <w:pPr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2309BE">
        <w:rPr>
          <w:rFonts w:ascii="Times New Roman" w:hAnsi="Times New Roman"/>
          <w:bCs/>
          <w:sz w:val="24"/>
          <w:szCs w:val="24"/>
        </w:rPr>
        <w:lastRenderedPageBreak/>
        <w:t>Вторая глава полностью посвящена концертам ХХ</w:t>
      </w:r>
      <w:r w:rsidRPr="002309B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309BE">
        <w:rPr>
          <w:rFonts w:ascii="Times New Roman" w:hAnsi="Times New Roman"/>
          <w:bCs/>
          <w:sz w:val="24"/>
          <w:szCs w:val="24"/>
        </w:rPr>
        <w:t xml:space="preserve"> века. Подробно разбираются такие концерты как: Концерт для балалайки с оркестром русских народных инструментов А. Рогачева, Концерт в двух аффектах для балалайки, фортепиано и камерного оркестра А. Тихомирова, Концерт для мандолины (балалайки) и струнных Е. Подгайца, Концерт-фантазия для балалайки с оркестром русских народных инструментов В. </w:t>
      </w:r>
      <w:proofErr w:type="spellStart"/>
      <w:r w:rsidRPr="002309BE">
        <w:rPr>
          <w:rFonts w:ascii="Times New Roman" w:hAnsi="Times New Roman"/>
          <w:bCs/>
          <w:sz w:val="24"/>
          <w:szCs w:val="24"/>
        </w:rPr>
        <w:t>Бикташева</w:t>
      </w:r>
      <w:proofErr w:type="spellEnd"/>
      <w:r w:rsidRPr="002309BE">
        <w:rPr>
          <w:rFonts w:ascii="Times New Roman" w:hAnsi="Times New Roman"/>
          <w:bCs/>
          <w:sz w:val="24"/>
          <w:szCs w:val="24"/>
        </w:rPr>
        <w:t xml:space="preserve">, «Время прощать» для балалайки и камерного оркестра М. </w:t>
      </w:r>
      <w:proofErr w:type="spellStart"/>
      <w:r w:rsidRPr="002309BE">
        <w:rPr>
          <w:rFonts w:ascii="Times New Roman" w:hAnsi="Times New Roman"/>
          <w:bCs/>
          <w:sz w:val="24"/>
          <w:szCs w:val="24"/>
        </w:rPr>
        <w:t>Броннера</w:t>
      </w:r>
      <w:proofErr w:type="spellEnd"/>
      <w:r w:rsidRPr="002309BE">
        <w:rPr>
          <w:rFonts w:ascii="Times New Roman" w:hAnsi="Times New Roman"/>
          <w:bCs/>
          <w:sz w:val="24"/>
          <w:szCs w:val="24"/>
        </w:rPr>
        <w:t>, Концерт для балалайки с оркестром «Пр</w:t>
      </w:r>
      <w:r>
        <w:rPr>
          <w:rFonts w:ascii="Times New Roman" w:hAnsi="Times New Roman"/>
          <w:bCs/>
          <w:sz w:val="24"/>
          <w:szCs w:val="24"/>
        </w:rPr>
        <w:t>еодоление» С. Левина</w:t>
      </w:r>
      <w:r w:rsidRPr="002309BE">
        <w:rPr>
          <w:rFonts w:ascii="Times New Roman" w:hAnsi="Times New Roman"/>
          <w:bCs/>
          <w:sz w:val="24"/>
          <w:szCs w:val="24"/>
        </w:rPr>
        <w:t>, Концерт-симфония для домры (балалайки) с симфоническим ор</w:t>
      </w:r>
      <w:r>
        <w:rPr>
          <w:rFonts w:ascii="Times New Roman" w:hAnsi="Times New Roman"/>
          <w:bCs/>
          <w:sz w:val="24"/>
          <w:szCs w:val="24"/>
        </w:rPr>
        <w:t>кестром А. Цыганкова</w:t>
      </w:r>
      <w:r w:rsidRPr="002309BE">
        <w:rPr>
          <w:rFonts w:ascii="Times New Roman" w:hAnsi="Times New Roman"/>
          <w:bCs/>
          <w:sz w:val="24"/>
          <w:szCs w:val="24"/>
        </w:rPr>
        <w:t>, Концерт для балалайки с симфонически</w:t>
      </w:r>
      <w:r>
        <w:rPr>
          <w:rFonts w:ascii="Times New Roman" w:hAnsi="Times New Roman"/>
          <w:bCs/>
          <w:sz w:val="24"/>
          <w:szCs w:val="24"/>
        </w:rPr>
        <w:t xml:space="preserve">м оркестром Е. </w:t>
      </w:r>
      <w:proofErr w:type="spellStart"/>
      <w:r>
        <w:rPr>
          <w:rFonts w:ascii="Times New Roman" w:hAnsi="Times New Roman"/>
          <w:bCs/>
          <w:sz w:val="24"/>
          <w:szCs w:val="24"/>
        </w:rPr>
        <w:t>Желинского</w:t>
      </w:r>
      <w:proofErr w:type="spellEnd"/>
      <w:r w:rsidRPr="002309BE">
        <w:rPr>
          <w:rFonts w:ascii="Times New Roman" w:hAnsi="Times New Roman"/>
          <w:bCs/>
          <w:sz w:val="24"/>
          <w:szCs w:val="24"/>
        </w:rPr>
        <w:t>.</w:t>
      </w:r>
    </w:p>
    <w:p w:rsidR="000F4968" w:rsidRPr="002309BE" w:rsidRDefault="000F4968" w:rsidP="000F4968">
      <w:pPr>
        <w:rPr>
          <w:rFonts w:ascii="Times New Roman" w:hAnsi="Times New Roman"/>
          <w:bCs/>
          <w:sz w:val="24"/>
          <w:szCs w:val="24"/>
        </w:rPr>
      </w:pPr>
      <w:r w:rsidRPr="002309BE">
        <w:rPr>
          <w:rFonts w:ascii="Times New Roman" w:hAnsi="Times New Roman"/>
          <w:bCs/>
          <w:sz w:val="24"/>
          <w:szCs w:val="24"/>
        </w:rPr>
        <w:br w:type="page"/>
      </w:r>
    </w:p>
    <w:p w:rsidR="00437FA2" w:rsidRDefault="00437FA2"/>
    <w:sectPr w:rsidR="004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583C"/>
    <w:multiLevelType w:val="hybridMultilevel"/>
    <w:tmpl w:val="FCFE41C4"/>
    <w:lvl w:ilvl="0" w:tplc="2BCA3A8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9A"/>
    <w:rsid w:val="000F4968"/>
    <w:rsid w:val="00304D9A"/>
    <w:rsid w:val="00437FA2"/>
    <w:rsid w:val="00AB2B61"/>
    <w:rsid w:val="00BA6573"/>
    <w:rsid w:val="00C74090"/>
    <w:rsid w:val="00D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16F1-E91E-4E48-B21F-2803C8D3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</cp:lastModifiedBy>
  <cp:revision>8</cp:revision>
  <dcterms:created xsi:type="dcterms:W3CDTF">2019-02-18T11:48:00Z</dcterms:created>
  <dcterms:modified xsi:type="dcterms:W3CDTF">2019-02-18T15:32:00Z</dcterms:modified>
</cp:coreProperties>
</file>